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9D6957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35F13AFA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</w:t>
      </w:r>
      <w:r w:rsidR="00DB63C3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lang w:val="pt-BR"/>
        </w:rPr>
        <w:t>destinadas ao financiamento 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BB661D">
        <w:rPr>
          <w:rFonts w:ascii="Segoe UI" w:hAnsi="Segoe UI" w:cs="Segoe UI"/>
          <w:sz w:val="20"/>
          <w:lang w:val="pt-BR"/>
        </w:rPr>
        <w:t>p</w:t>
      </w:r>
      <w:r w:rsidR="00BB661D" w:rsidRPr="00BB661D">
        <w:rPr>
          <w:rFonts w:ascii="Segoe UI" w:hAnsi="Segoe UI" w:cs="Segoe UI"/>
          <w:sz w:val="20"/>
          <w:lang w:val="pt-BR"/>
        </w:rPr>
        <w:t>rojetos de construção ou melhoria de edificações públicas, de eficiência energética, de geração de energia ou de cidades inteligentes</w:t>
      </w:r>
      <w:commentRangeEnd w:id="3"/>
      <w:r w:rsidR="005A5F87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04D6BEAE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</w:t>
      </w:r>
      <w:bookmarkStart w:id="4" w:name="_GoBack"/>
      <w:bookmarkEnd w:id="4"/>
      <w:r w:rsidRPr="00E12A02">
        <w:rPr>
          <w:rFonts w:ascii="Segoe UI" w:hAnsi="Segoe UI" w:cs="Segoe UI"/>
          <w:sz w:val="20"/>
          <w:lang w:val="pt-BR"/>
        </w:rPr>
        <w:t>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lastRenderedPageBreak/>
        <w:t>aceitar o foro da cidade de Belo Horizonte para dirimir quaisquer controvérsias decorrentes 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BB4392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BB4392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272E794F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7845702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BB661D">
        <w:rPr>
          <w:rFonts w:ascii="Segoe UI" w:hAnsi="Segoe UI" w:cs="Segoe UI"/>
          <w:sz w:val="20"/>
          <w:lang w:val="pt-BR"/>
        </w:rPr>
        <w:t>1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777777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106E521C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</w:t>
      </w:r>
      <w:r w:rsidR="00DB63C3">
        <w:rPr>
          <w:rFonts w:ascii="Segoe UI" w:hAnsi="Segoe UI" w:cs="Segoe UI"/>
          <w:sz w:val="20"/>
          <w:lang w:val="pt-BR"/>
        </w:rPr>
        <w:t xml:space="preserve">destinada </w:t>
      </w:r>
      <w:r w:rsidR="00DB63C3" w:rsidRPr="00DB63C3">
        <w:rPr>
          <w:rFonts w:ascii="Segoe UI" w:hAnsi="Segoe UI" w:cs="Segoe UI"/>
          <w:sz w:val="20"/>
          <w:lang w:val="pt-BR"/>
        </w:rPr>
        <w:t>ao financiamento de projetos de construção ou melhoria de edificações públicas, de eficiência energética, de geração de energia ou de cidades inteligentes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Start w:id="5"/>
      <w:commentRangeEnd w:id="5"/>
      <w:r>
        <w:rPr>
          <w:rStyle w:val="Refdecomentrio"/>
        </w:rPr>
        <w:commentReference w:id="5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DE5B6B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8" w:name="Texto90__"/>
      <w:bookmarkStart w:id="9" w:name="Texto98__"/>
      <w:bookmarkStart w:id="10" w:name="Texto349"/>
      <w:bookmarkStart w:id="11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20C975C8" w14:textId="0E8F3AE2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</w:t>
      </w:r>
      <w:r w:rsidR="00DB63C3">
        <w:rPr>
          <w:rFonts w:ascii="Segoe UI" w:hAnsi="Segoe UI" w:cs="Segoe UI"/>
          <w:sz w:val="20"/>
          <w:lang w:val="pt-BR"/>
        </w:rPr>
        <w:t xml:space="preserve">destinada </w:t>
      </w:r>
      <w:r w:rsidR="00DB63C3" w:rsidRPr="00DB63C3">
        <w:rPr>
          <w:rFonts w:ascii="Segoe UI" w:hAnsi="Segoe UI" w:cs="Segoe UI"/>
          <w:sz w:val="20"/>
          <w:lang w:val="pt-BR"/>
        </w:rPr>
        <w:t>ao financiamento de projetos de construção ou melhoria de edificações públicas, de eficiência energética, de geração de energia ou de cidades inteligentes</w:t>
      </w:r>
      <w:r w:rsidR="00DB63C3">
        <w:rPr>
          <w:rFonts w:ascii="Segoe UI" w:hAnsi="Segoe UI" w:cs="Segoe UI"/>
          <w:sz w:val="20"/>
          <w:lang w:val="pt-BR"/>
        </w:rPr>
        <w:t>.</w:t>
      </w: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2"/>
      <w:r>
        <w:rPr>
          <w:rStyle w:val="Refdecomentrio"/>
        </w:rPr>
        <w:commentReference w:id="12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3"/>
      <w:r>
        <w:rPr>
          <w:rStyle w:val="Refdecomentrio"/>
        </w:rPr>
        <w:commentReference w:id="13"/>
      </w:r>
    </w:p>
    <w:bookmarkEnd w:id="8"/>
    <w:bookmarkEnd w:id="9"/>
    <w:bookmarkEnd w:id="10"/>
    <w:bookmarkEnd w:id="11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9C594D0" w14:textId="77777777" w:rsidR="00DB63C3" w:rsidRDefault="00DB63C3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27D2B70F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4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4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5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>
        <w:rPr>
          <w:rStyle w:val="Refdecomentrio"/>
        </w:rPr>
        <w:commentReference w:id="15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6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6"/>
      <w:r>
        <w:rPr>
          <w:rStyle w:val="Refdecomentrio"/>
        </w:rPr>
        <w:commentReference w:id="16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1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BB4392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3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4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5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BB4392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6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BB4392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7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odolfo Pereira Guedes (Rio Minas)" w:date="2021-12-01T12:31:00Z" w:initials="RPG">
    <w:p w14:paraId="7FAB731B" w14:textId="24DE0761" w:rsidR="00713FA1" w:rsidRPr="00713FA1" w:rsidRDefault="005A5F87">
      <w:pPr>
        <w:pStyle w:val="Textodecomentrio"/>
        <w:rPr>
          <w:b/>
          <w:bCs/>
          <w:u w:val="single"/>
          <w:lang w:val="pt-BR"/>
        </w:rPr>
      </w:pPr>
      <w:r>
        <w:rPr>
          <w:rStyle w:val="Refdecomentrio"/>
        </w:rPr>
        <w:annotationRef/>
      </w:r>
      <w:r w:rsidRPr="005A5F87">
        <w:rPr>
          <w:lang w:val="pt-BR"/>
        </w:rPr>
        <w:t xml:space="preserve">Recomendamos que o objeto de financiamento não seja alterado na lei autorizativa. </w:t>
      </w:r>
      <w:r w:rsidRPr="005A5F87">
        <w:rPr>
          <w:b/>
          <w:bCs/>
          <w:lang w:val="pt-BR"/>
        </w:rPr>
        <w:t xml:space="preserve">Qualquer troca no objeto deve ser aprovada pelo BDMG, caso contrário, </w:t>
      </w:r>
      <w:r w:rsidRPr="005A5F87">
        <w:rPr>
          <w:b/>
          <w:bCs/>
          <w:u w:val="single"/>
          <w:lang w:val="pt-BR"/>
        </w:rPr>
        <w:t>a lei aprovada corre o risco de não ser aceita por não enquadramento no Edital de Financiamento.</w:t>
      </w:r>
    </w:p>
  </w:comment>
  <w:comment w:id="5" w:author="Rodolfo Pereira Guedes (Rio Minas)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</w:t>
      </w:r>
      <w:proofErr w:type="spellStart"/>
      <w:r w:rsidRPr="007035DA">
        <w:rPr>
          <w:lang w:val="pt-BR"/>
        </w:rPr>
        <w:t>Ex</w:t>
      </w:r>
      <w:proofErr w:type="spellEnd"/>
      <w:r w:rsidRPr="007035DA">
        <w:rPr>
          <w:lang w:val="pt-BR"/>
        </w:rPr>
        <w:t xml:space="preserve">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6" w:author="Rodolfo Pereira Guedes (Rio Minas)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Rodolfo Pereira Guedes (Rio Minas)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2" w:author="Rodolfo Pereira Guedes (Rio Minas)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Rodolfo Pereira Guedes (Rio Minas)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5" w:author="Rodolfo Pereira Guedes (Rio Minas)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</w:t>
      </w:r>
      <w:proofErr w:type="spellStart"/>
      <w:r w:rsidRPr="007414CB">
        <w:rPr>
          <w:lang w:val="pt-BR"/>
        </w:rPr>
        <w:t>Ex</w:t>
      </w:r>
      <w:proofErr w:type="spellEnd"/>
      <w:r w:rsidRPr="007414CB">
        <w:rPr>
          <w:lang w:val="pt-BR"/>
        </w:rPr>
        <w:t xml:space="preserve">: </w:t>
      </w:r>
      <w:r w:rsidR="00BB4392">
        <w:fldChar w:fldCharType="begin"/>
      </w:r>
      <w:r w:rsidR="00BB4392" w:rsidRPr="00BB4392">
        <w:rPr>
          <w:lang w:val="pt-BR"/>
        </w:rPr>
        <w:instrText xml:space="preserve"> HYPERLINK "http://www.novalima.mg.gov.br" </w:instrText>
      </w:r>
      <w:r w:rsidR="00BB4392">
        <w:fldChar w:fldCharType="separate"/>
      </w:r>
      <w:r w:rsidRPr="007414CB">
        <w:rPr>
          <w:rStyle w:val="Hyperlink"/>
          <w:lang w:val="pt-BR"/>
        </w:rPr>
        <w:t>www.novalima.mg.gov.br</w:t>
      </w:r>
      <w:r w:rsidR="00BB4392">
        <w:rPr>
          <w:rStyle w:val="Hyperlink"/>
          <w:lang w:val="pt-BR"/>
        </w:rPr>
        <w:fldChar w:fldCharType="end"/>
      </w:r>
    </w:p>
  </w:comment>
  <w:comment w:id="16" w:author="Rodolfo Pereira Guedes (Rio Minas)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AB731B" w15:done="0"/>
  <w15:commentEx w15:paraId="66960670" w15:done="0"/>
  <w15:commentEx w15:paraId="2481EAC1" w15:done="0"/>
  <w15:commentEx w15:paraId="2717AF74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1E9B1" w16cex:dateUtc="2021-12-01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AB731B" w16cid:durableId="2551E9B1"/>
  <w16cid:commentId w16cid:paraId="66960670" w16cid:durableId="2551E663"/>
  <w16cid:commentId w16cid:paraId="2481EAC1" w16cid:durableId="247D7B43"/>
  <w16cid:commentId w16cid:paraId="2717AF74" w16cid:durableId="247D7B52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1944" w14:textId="77777777" w:rsidR="0044589D" w:rsidRDefault="0044589D" w:rsidP="000B488D">
      <w:r>
        <w:separator/>
      </w:r>
    </w:p>
  </w:endnote>
  <w:endnote w:type="continuationSeparator" w:id="0">
    <w:p w14:paraId="3AAA743D" w14:textId="77777777" w:rsidR="0044589D" w:rsidRDefault="0044589D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E7F0" w14:textId="77777777" w:rsidR="0044589D" w:rsidRDefault="0044589D" w:rsidP="000B488D">
      <w:r>
        <w:separator/>
      </w:r>
    </w:p>
  </w:footnote>
  <w:footnote w:type="continuationSeparator" w:id="0">
    <w:p w14:paraId="5F544423" w14:textId="77777777" w:rsidR="0044589D" w:rsidRDefault="0044589D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666D4"/>
    <w:rsid w:val="000B488D"/>
    <w:rsid w:val="002F15B9"/>
    <w:rsid w:val="002F5DE7"/>
    <w:rsid w:val="0044146C"/>
    <w:rsid w:val="0044589D"/>
    <w:rsid w:val="00563B65"/>
    <w:rsid w:val="005A5F87"/>
    <w:rsid w:val="006C1D91"/>
    <w:rsid w:val="00713FA1"/>
    <w:rsid w:val="007F2118"/>
    <w:rsid w:val="008C3AE8"/>
    <w:rsid w:val="009D6957"/>
    <w:rsid w:val="009F0A7B"/>
    <w:rsid w:val="00BB4392"/>
    <w:rsid w:val="00BB5F6E"/>
    <w:rsid w:val="00BB661D"/>
    <w:rsid w:val="00C62BD6"/>
    <w:rsid w:val="00CA3E71"/>
    <w:rsid w:val="00CD123A"/>
    <w:rsid w:val="00D55F7F"/>
    <w:rsid w:val="00D75D82"/>
    <w:rsid w:val="00DB63C3"/>
    <w:rsid w:val="00E55113"/>
    <w:rsid w:val="00E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consulta-crf.caixa.gov.br/consultacrf/pages/consultaEmpregador.js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2.fazenda.mg.gov.br/sol/ctrl/SOL/CDT/SERVICO_829?ACAO=INICI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rvicos.receita.fazenda.gov.br/Servicos/CertidaoInternet/PJ/Consulta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ce.mg.gov.br/ecertida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servicos.receita.fazenda.gov.br/Servicos/certidao/CNDConjuntaInter/InformaNICertidao.as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2831</Words>
  <Characters>15289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22</cp:revision>
  <dcterms:created xsi:type="dcterms:W3CDTF">2021-12-01T14:51:00Z</dcterms:created>
  <dcterms:modified xsi:type="dcterms:W3CDTF">2022-06-07T17:40:00Z</dcterms:modified>
</cp:coreProperties>
</file>