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7F" w:rsidRDefault="00AA777F" w:rsidP="00AA777F">
      <w:pPr>
        <w:shd w:val="clear" w:color="C0C0C0" w:fill="FFFFFF"/>
        <w:spacing w:after="120"/>
        <w:jc w:val="center"/>
        <w:outlineLvl w:val="0"/>
        <w:rPr>
          <w:rFonts w:cs="Arial"/>
          <w:b/>
          <w:szCs w:val="22"/>
        </w:rPr>
      </w:pPr>
      <w:bookmarkStart w:id="0" w:name="Texto90__"/>
      <w:bookmarkStart w:id="1" w:name="Texto98__"/>
      <w:bookmarkStart w:id="2" w:name="Texto349"/>
      <w:bookmarkStart w:id="3" w:name="Texto296"/>
      <w:r>
        <w:rPr>
          <w:rFonts w:cs="Arial"/>
          <w:b/>
          <w:szCs w:val="22"/>
        </w:rPr>
        <w:t xml:space="preserve">BDMG </w:t>
      </w:r>
      <w:r w:rsidR="008340DC">
        <w:rPr>
          <w:rFonts w:cs="Arial"/>
          <w:b/>
          <w:szCs w:val="22"/>
        </w:rPr>
        <w:t>SANEAMENTO</w:t>
      </w:r>
      <w:r w:rsidR="00583CE3">
        <w:rPr>
          <w:rFonts w:cs="Arial"/>
          <w:b/>
          <w:szCs w:val="22"/>
        </w:rPr>
        <w:t xml:space="preserve"> </w:t>
      </w:r>
      <w:r w:rsidR="00E7636C">
        <w:rPr>
          <w:rFonts w:cs="Arial"/>
          <w:b/>
          <w:szCs w:val="22"/>
        </w:rPr>
        <w:t>201</w:t>
      </w:r>
      <w:r w:rsidR="004E3F3C">
        <w:rPr>
          <w:rFonts w:cs="Arial"/>
          <w:b/>
          <w:szCs w:val="22"/>
        </w:rPr>
        <w:t>9</w:t>
      </w:r>
    </w:p>
    <w:p w:rsidR="00AA777F" w:rsidRPr="0075712D" w:rsidRDefault="00AA777F" w:rsidP="00AA777F">
      <w:pPr>
        <w:shd w:val="clear" w:color="C0C0C0" w:fill="FFFFFF"/>
        <w:spacing w:after="120"/>
        <w:jc w:val="center"/>
        <w:outlineLvl w:val="0"/>
        <w:rPr>
          <w:rFonts w:cs="Arial"/>
          <w:szCs w:val="22"/>
        </w:rPr>
      </w:pPr>
    </w:p>
    <w:p w:rsidR="00AA777F" w:rsidRPr="00280DED" w:rsidRDefault="00AA777F" w:rsidP="00AA777F">
      <w:pPr>
        <w:pStyle w:val="Ttulo"/>
        <w:shd w:val="clear" w:color="auto" w:fill="auto"/>
        <w:tabs>
          <w:tab w:val="center" w:pos="5103"/>
          <w:tab w:val="left" w:pos="8190"/>
        </w:tabs>
        <w:rPr>
          <w:rFonts w:ascii="Arial" w:hAnsi="Arial" w:cs="Arial"/>
          <w:sz w:val="20"/>
        </w:rPr>
      </w:pPr>
      <w:r w:rsidRPr="00280DED">
        <w:rPr>
          <w:rFonts w:ascii="Arial" w:hAnsi="Arial" w:cs="Arial"/>
          <w:sz w:val="20"/>
        </w:rPr>
        <w:t>PEDIDO DE VERIFICAÇÃO DE LIMITES E CONDIÇÕES</w:t>
      </w:r>
    </w:p>
    <w:p w:rsidR="00AA777F" w:rsidRPr="00280DED" w:rsidRDefault="00AA777F" w:rsidP="00AA777F">
      <w:pPr>
        <w:tabs>
          <w:tab w:val="left" w:pos="9214"/>
        </w:tabs>
        <w:jc w:val="center"/>
        <w:rPr>
          <w:rFonts w:cs="Arial"/>
          <w:b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 xml:space="preserve">Trata o presente de </w:t>
      </w:r>
      <w:r w:rsidRPr="00280DED">
        <w:rPr>
          <w:rFonts w:cs="Arial"/>
          <w:b/>
          <w:bCs/>
          <w:snapToGrid/>
          <w:sz w:val="20"/>
        </w:rPr>
        <w:t>Pedido de Verificação de Limites e Condições</w:t>
      </w:r>
      <w:r w:rsidRPr="00280DED">
        <w:rPr>
          <w:rFonts w:cs="Arial"/>
          <w:snapToGrid/>
          <w:sz w:val="20"/>
        </w:rPr>
        <w:t>, nos termos do art. 32 da Lei Complementar nº101 de 2000, para a realização da ope</w:t>
      </w:r>
      <w:r>
        <w:rPr>
          <w:rFonts w:cs="Arial"/>
          <w:snapToGrid/>
          <w:sz w:val="20"/>
        </w:rPr>
        <w:t>ração de crédito interno entre o</w:t>
      </w:r>
      <w:r w:rsidRPr="00280DED">
        <w:rPr>
          <w:rFonts w:cs="Arial"/>
          <w:snapToGrid/>
          <w:sz w:val="20"/>
        </w:rPr>
        <w:t xml:space="preserve"> MUNICIP</w:t>
      </w:r>
      <w:r>
        <w:rPr>
          <w:rFonts w:cs="Arial"/>
          <w:snapToGrid/>
          <w:sz w:val="20"/>
        </w:rPr>
        <w:t>IO</w:t>
      </w:r>
      <w:r w:rsidRPr="00280DED">
        <w:rPr>
          <w:rFonts w:cs="Arial"/>
          <w:snapToGrid/>
          <w:sz w:val="20"/>
        </w:rPr>
        <w:t xml:space="preserve"> DE   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asciiTheme="minorHAnsi" w:hAnsiTheme="minorHAnsi" w:cs="Arial"/>
          <w:szCs w:val="22"/>
          <w:shd w:val="clear" w:color="auto" w:fill="D9D9D9"/>
        </w:rPr>
        <w:instrText xml:space="preserve"> FORMTEXT </w:instrText>
      </w:r>
      <w:r w:rsidR="00224D57">
        <w:rPr>
          <w:rFonts w:asciiTheme="minorHAnsi" w:hAnsiTheme="minorHAnsi" w:cs="Arial"/>
          <w:szCs w:val="22"/>
          <w:shd w:val="clear" w:color="auto" w:fill="D9D9D9"/>
        </w:rPr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separate"/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end"/>
      </w:r>
      <w:r w:rsidRPr="00280DED">
        <w:rPr>
          <w:rFonts w:cs="Arial"/>
          <w:snapToGrid/>
          <w:sz w:val="20"/>
        </w:rPr>
        <w:t>/ MG e o BANCO DE DESENVOLVIMENTO DE MINAS GERAIS S.A.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Nos termos do acordo firmado por meio deste instrumento, que passa a ter efeito de proposta firme, os signatários ratificam a intenção de contratar a operação de crédito interno, com as seguintes condições: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Valor do Crédito: R$ 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asciiTheme="minorHAnsi" w:hAnsiTheme="minorHAnsi" w:cs="Arial"/>
          <w:szCs w:val="22"/>
          <w:shd w:val="clear" w:color="auto" w:fill="D9D9D9"/>
        </w:rPr>
        <w:instrText xml:space="preserve"> FORMTEXT </w:instrText>
      </w:r>
      <w:r w:rsidR="00224D57">
        <w:rPr>
          <w:rFonts w:asciiTheme="minorHAnsi" w:hAnsiTheme="minorHAnsi" w:cs="Arial"/>
          <w:szCs w:val="22"/>
          <w:shd w:val="clear" w:color="auto" w:fill="D9D9D9"/>
        </w:rPr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separate"/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end"/>
      </w:r>
    </w:p>
    <w:p w:rsidR="00001AC8" w:rsidRDefault="00001AC8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835"/>
      </w:tblGrid>
      <w:tr w:rsidR="00A058D1" w:rsidRPr="00280DED" w:rsidTr="00D41FD4">
        <w:tc>
          <w:tcPr>
            <w:tcW w:w="1696" w:type="dxa"/>
            <w:vAlign w:val="center"/>
          </w:tcPr>
          <w:p w:rsidR="00A058D1" w:rsidRPr="00280DED" w:rsidRDefault="00A058D1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058D1" w:rsidRPr="00D41FD4" w:rsidRDefault="00A058D1" w:rsidP="00D41FD4">
            <w:pPr>
              <w:tabs>
                <w:tab w:val="left" w:pos="9214"/>
              </w:tabs>
              <w:jc w:val="center"/>
              <w:rPr>
                <w:rFonts w:cs="Arial"/>
                <w:b/>
                <w:sz w:val="20"/>
              </w:rPr>
            </w:pPr>
            <w:r w:rsidRPr="00765FED">
              <w:rPr>
                <w:rFonts w:cs="Arial"/>
                <w:b/>
                <w:sz w:val="20"/>
              </w:rPr>
              <w:t>201</w:t>
            </w:r>
            <w:r w:rsidR="004E3F3C">
              <w:rPr>
                <w:rFonts w:cs="Arial"/>
                <w:b/>
                <w:sz w:val="20"/>
              </w:rPr>
              <w:t>9</w:t>
            </w:r>
          </w:p>
        </w:tc>
      </w:tr>
      <w:tr w:rsidR="00A058D1" w:rsidRPr="00280DED" w:rsidTr="00D41FD4">
        <w:trPr>
          <w:trHeight w:val="624"/>
        </w:trPr>
        <w:tc>
          <w:tcPr>
            <w:tcW w:w="1696" w:type="dxa"/>
            <w:vAlign w:val="center"/>
          </w:tcPr>
          <w:p w:rsidR="00A058D1" w:rsidRPr="00280DED" w:rsidRDefault="00A058D1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Liberações:</w:t>
            </w:r>
          </w:p>
        </w:tc>
        <w:tc>
          <w:tcPr>
            <w:tcW w:w="2835" w:type="dxa"/>
            <w:vAlign w:val="center"/>
          </w:tcPr>
          <w:p w:rsidR="00A058D1" w:rsidRPr="00280DED" w:rsidRDefault="00224D57" w:rsidP="00D41FD4">
            <w:pPr>
              <w:tabs>
                <w:tab w:val="left" w:pos="9214"/>
              </w:tabs>
              <w:jc w:val="center"/>
              <w:rPr>
                <w:rFonts w:cs="Arial"/>
                <w:sz w:val="20"/>
                <w:highlight w:val="lightGray"/>
              </w:rPr>
            </w:pP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001AC8" w:rsidRDefault="00001AC8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</w:p>
    <w:p w:rsidR="00001AC8" w:rsidRPr="00280DED" w:rsidRDefault="00001AC8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 xml:space="preserve">Finalidade / </w:t>
      </w:r>
      <w:proofErr w:type="spellStart"/>
      <w:proofErr w:type="gramStart"/>
      <w:r w:rsidRPr="00247586">
        <w:rPr>
          <w:rFonts w:cs="Arial"/>
          <w:b/>
          <w:snapToGrid/>
          <w:sz w:val="20"/>
        </w:rPr>
        <w:t>destinação:</w:t>
      </w:r>
      <w:r w:rsidR="008340DC">
        <w:rPr>
          <w:rFonts w:asciiTheme="minorHAnsi" w:hAnsiTheme="minorHAnsi" w:cs="Arial"/>
          <w:szCs w:val="22"/>
          <w:shd w:val="clear" w:color="auto" w:fill="D9D9D9"/>
        </w:rPr>
        <w:t>Investimentos</w:t>
      </w:r>
      <w:proofErr w:type="spellEnd"/>
      <w:proofErr w:type="gramEnd"/>
      <w:r w:rsidR="008340DC">
        <w:rPr>
          <w:rFonts w:asciiTheme="minorHAnsi" w:hAnsiTheme="minorHAnsi" w:cs="Arial"/>
          <w:szCs w:val="22"/>
          <w:shd w:val="clear" w:color="auto" w:fill="D9D9D9"/>
        </w:rPr>
        <w:t xml:space="preserve"> em saneamento</w:t>
      </w:r>
      <w:r w:rsidR="00610297">
        <w:rPr>
          <w:rFonts w:asciiTheme="minorHAnsi" w:hAnsiTheme="minorHAnsi" w:cs="Arial"/>
          <w:szCs w:val="22"/>
          <w:shd w:val="clear" w:color="auto" w:fill="D9D9D9"/>
        </w:rPr>
        <w:t xml:space="preserve"> 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Atualização Monetária:</w:t>
      </w:r>
      <w:r w:rsidRPr="00280DED">
        <w:rPr>
          <w:rFonts w:cs="Arial"/>
          <w:snapToGrid/>
          <w:sz w:val="20"/>
        </w:rPr>
        <w:t xml:space="preserve"> </w:t>
      </w:r>
      <w:r w:rsidR="00001AC8">
        <w:rPr>
          <w:rFonts w:cs="Arial"/>
          <w:snapToGrid/>
          <w:sz w:val="20"/>
        </w:rPr>
        <w:t>SELIC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Taxa de Juros:</w:t>
      </w:r>
      <w:r w:rsidRPr="00280DED">
        <w:rPr>
          <w:rFonts w:cs="Arial"/>
          <w:snapToGrid/>
          <w:sz w:val="20"/>
        </w:rPr>
        <w:t xml:space="preserve"> </w:t>
      </w:r>
      <w:r w:rsidR="008340DC">
        <w:rPr>
          <w:rFonts w:cs="Arial"/>
          <w:snapToGrid/>
          <w:sz w:val="20"/>
        </w:rPr>
        <w:t>5</w:t>
      </w:r>
      <w:r w:rsidRPr="00280DED">
        <w:rPr>
          <w:rFonts w:cs="Arial"/>
          <w:snapToGrid/>
          <w:sz w:val="20"/>
        </w:rPr>
        <w:t>% a.a. (</w:t>
      </w:r>
      <w:r w:rsidR="004B0F25">
        <w:rPr>
          <w:rFonts w:cs="Arial"/>
          <w:snapToGrid/>
          <w:sz w:val="20"/>
        </w:rPr>
        <w:t>cinco</w:t>
      </w:r>
      <w:r w:rsidR="00001AC8">
        <w:rPr>
          <w:rFonts w:cs="Arial"/>
          <w:snapToGrid/>
          <w:sz w:val="20"/>
        </w:rPr>
        <w:t xml:space="preserve"> </w:t>
      </w:r>
      <w:r w:rsidRPr="00280DED">
        <w:rPr>
          <w:rFonts w:cs="Arial"/>
          <w:snapToGrid/>
          <w:sz w:val="20"/>
        </w:rPr>
        <w:t>por cento ao ano)</w:t>
      </w:r>
      <w:r w:rsidR="00131C1A">
        <w:rPr>
          <w:rFonts w:cs="Arial"/>
          <w:snapToGrid/>
          <w:sz w:val="20"/>
        </w:rPr>
        <w:t xml:space="preserve"> </w:t>
      </w:r>
      <w:r w:rsidR="00131C1A">
        <w:rPr>
          <w:rFonts w:cs="Arial"/>
          <w:sz w:val="18"/>
          <w:szCs w:val="18"/>
          <w:highlight w:val="yellow"/>
        </w:rPr>
        <w:t>baixo IDH mudar para 4% a.a. (</w:t>
      </w:r>
      <w:r w:rsidR="00131C1A">
        <w:rPr>
          <w:rFonts w:cs="Arial"/>
          <w:color w:val="C00000"/>
          <w:sz w:val="18"/>
          <w:szCs w:val="18"/>
          <w:highlight w:val="yellow"/>
        </w:rPr>
        <w:t>apagar comentário antes de enviar)</w:t>
      </w:r>
    </w:p>
    <w:p w:rsidR="00AA777F" w:rsidRDefault="00A058D1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Taxa de análise de crédito:</w:t>
      </w:r>
      <w:r>
        <w:rPr>
          <w:rFonts w:cs="Arial"/>
          <w:snapToGrid/>
          <w:sz w:val="20"/>
        </w:rPr>
        <w:t xml:space="preserve"> 1,0</w:t>
      </w:r>
      <w:r w:rsidR="00AA777F" w:rsidRPr="00280DED">
        <w:rPr>
          <w:rFonts w:cs="Arial"/>
          <w:snapToGrid/>
          <w:sz w:val="20"/>
        </w:rPr>
        <w:t>% do valor financiado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Encargos de inadimplência:</w:t>
      </w:r>
      <w:r w:rsidRPr="00280DED">
        <w:rPr>
          <w:rFonts w:cs="Arial"/>
          <w:snapToGrid/>
          <w:sz w:val="20"/>
        </w:rPr>
        <w:t xml:space="preserve"> </w:t>
      </w:r>
      <w:r w:rsidRPr="00280DED">
        <w:rPr>
          <w:rFonts w:cs="Arial"/>
          <w:sz w:val="20"/>
        </w:rPr>
        <w:t>Juros moratórios de 12% a.a. mais juros compensatórios a taxas compatíveis com o mercado financeiro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Prazo Total</w:t>
      </w:r>
      <w:r w:rsidRPr="00280DED">
        <w:rPr>
          <w:rFonts w:cs="Arial"/>
          <w:snapToGrid/>
          <w:sz w:val="20"/>
        </w:rPr>
        <w:t xml:space="preserve">: </w:t>
      </w:r>
      <w:r w:rsidR="00A00083">
        <w:rPr>
          <w:rFonts w:cs="Arial"/>
          <w:snapToGrid/>
          <w:sz w:val="20"/>
        </w:rPr>
        <w:t>90</w:t>
      </w:r>
      <w:r w:rsidRPr="00280DED">
        <w:rPr>
          <w:rFonts w:cs="Arial"/>
          <w:snapToGrid/>
          <w:sz w:val="20"/>
        </w:rPr>
        <w:t xml:space="preserve"> (</w:t>
      </w:r>
      <w:r w:rsidR="00A00083">
        <w:rPr>
          <w:rFonts w:cs="Arial"/>
          <w:snapToGrid/>
          <w:sz w:val="20"/>
        </w:rPr>
        <w:t>noventa</w:t>
      </w:r>
      <w:r w:rsidRPr="00280DED">
        <w:rPr>
          <w:rFonts w:cs="Arial"/>
          <w:snapToGrid/>
          <w:sz w:val="20"/>
        </w:rPr>
        <w:t xml:space="preserve">) meses (prazo total = prazo de carência </w:t>
      </w:r>
      <w:proofErr w:type="gramStart"/>
      <w:r w:rsidRPr="00280DED">
        <w:rPr>
          <w:rFonts w:cs="Arial"/>
          <w:snapToGrid/>
          <w:sz w:val="20"/>
        </w:rPr>
        <w:t>+</w:t>
      </w:r>
      <w:proofErr w:type="gramEnd"/>
      <w:r w:rsidRPr="00280DED">
        <w:rPr>
          <w:rFonts w:cs="Arial"/>
          <w:snapToGrid/>
          <w:sz w:val="20"/>
        </w:rPr>
        <w:t xml:space="preserve"> prazo de amortização)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Carência:</w:t>
      </w:r>
      <w:r w:rsidRPr="00280DED">
        <w:rPr>
          <w:rFonts w:cs="Arial"/>
          <w:snapToGrid/>
          <w:sz w:val="20"/>
        </w:rPr>
        <w:t xml:space="preserve"> </w:t>
      </w:r>
      <w:r w:rsidR="008340DC">
        <w:rPr>
          <w:rFonts w:cs="Arial"/>
          <w:snapToGrid/>
          <w:sz w:val="20"/>
        </w:rPr>
        <w:t>1</w:t>
      </w:r>
      <w:r w:rsidR="00A00083">
        <w:rPr>
          <w:rFonts w:cs="Arial"/>
          <w:snapToGrid/>
          <w:sz w:val="20"/>
        </w:rPr>
        <w:t>8</w:t>
      </w:r>
      <w:r w:rsidRPr="00280DED">
        <w:rPr>
          <w:rFonts w:cs="Arial"/>
          <w:snapToGrid/>
          <w:sz w:val="20"/>
        </w:rPr>
        <w:t xml:space="preserve"> (</w:t>
      </w:r>
      <w:r>
        <w:rPr>
          <w:rFonts w:cs="Arial"/>
          <w:snapToGrid/>
          <w:sz w:val="20"/>
        </w:rPr>
        <w:t>d</w:t>
      </w:r>
      <w:r w:rsidR="00A00083">
        <w:rPr>
          <w:rFonts w:cs="Arial"/>
          <w:snapToGrid/>
          <w:sz w:val="20"/>
        </w:rPr>
        <w:t>ezoito</w:t>
      </w:r>
      <w:r w:rsidRPr="00280DED">
        <w:rPr>
          <w:rFonts w:cs="Arial"/>
          <w:snapToGrid/>
          <w:sz w:val="20"/>
        </w:rPr>
        <w:t>) meses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Amortização:</w:t>
      </w:r>
      <w:r w:rsidR="008340DC">
        <w:rPr>
          <w:rFonts w:cs="Arial"/>
          <w:snapToGrid/>
          <w:sz w:val="20"/>
        </w:rPr>
        <w:t xml:space="preserve"> 72</w:t>
      </w:r>
      <w:r w:rsidRPr="00280DED">
        <w:rPr>
          <w:rFonts w:cs="Arial"/>
          <w:snapToGrid/>
          <w:sz w:val="20"/>
        </w:rPr>
        <w:t xml:space="preserve"> (</w:t>
      </w:r>
      <w:r w:rsidR="008340DC">
        <w:rPr>
          <w:rFonts w:cs="Arial"/>
          <w:snapToGrid/>
          <w:sz w:val="20"/>
        </w:rPr>
        <w:t>set</w:t>
      </w:r>
      <w:r>
        <w:rPr>
          <w:rFonts w:cs="Arial"/>
          <w:snapToGrid/>
          <w:sz w:val="20"/>
        </w:rPr>
        <w:t>enta</w:t>
      </w:r>
      <w:r w:rsidR="008340DC">
        <w:rPr>
          <w:rFonts w:cs="Arial"/>
          <w:snapToGrid/>
          <w:sz w:val="20"/>
        </w:rPr>
        <w:t xml:space="preserve"> e dois</w:t>
      </w:r>
      <w:r w:rsidRPr="00280DED">
        <w:rPr>
          <w:rFonts w:cs="Arial"/>
          <w:snapToGrid/>
          <w:sz w:val="20"/>
        </w:rPr>
        <w:t>) meses</w:t>
      </w:r>
    </w:p>
    <w:p w:rsidR="00E7636C" w:rsidRDefault="00AA777F" w:rsidP="00E7636C">
      <w:pPr>
        <w:rPr>
          <w:rFonts w:ascii="Calibri" w:hAnsi="Calibri"/>
          <w:b/>
          <w:bCs/>
          <w:snapToGrid/>
        </w:rPr>
      </w:pPr>
      <w:r w:rsidRPr="00247586">
        <w:rPr>
          <w:rFonts w:cs="Arial"/>
          <w:b/>
          <w:sz w:val="20"/>
        </w:rPr>
        <w:t xml:space="preserve">Base Legal: </w:t>
      </w:r>
      <w:r w:rsidR="00E7636C" w:rsidRPr="00E7636C">
        <w:rPr>
          <w:rFonts w:cs="Arial"/>
          <w:snapToGrid/>
          <w:sz w:val="20"/>
        </w:rPr>
        <w:t>Parágrafo 1º, Art. 5º da Resolução CMN 4.5</w:t>
      </w:r>
      <w:bookmarkStart w:id="4" w:name="_GoBack"/>
      <w:bookmarkEnd w:id="4"/>
      <w:r w:rsidR="00E7636C" w:rsidRPr="00E7636C">
        <w:rPr>
          <w:rFonts w:cs="Arial"/>
          <w:snapToGrid/>
          <w:sz w:val="20"/>
        </w:rPr>
        <w:t>89/2017 e Resolução CMN 4.610/2017</w:t>
      </w: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91ED8" w:rsidRPr="00E06344" w:rsidRDefault="00F91ED8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001AC8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>Encontra-se indicado a seguir o nome</w:t>
      </w:r>
      <w:r w:rsidR="00AA777F" w:rsidRPr="0069798E">
        <w:rPr>
          <w:rFonts w:cs="Arial"/>
          <w:snapToGrid/>
          <w:sz w:val="20"/>
        </w:rPr>
        <w:t xml:space="preserve"> do representante forma</w:t>
      </w:r>
      <w:r>
        <w:rPr>
          <w:rFonts w:cs="Arial"/>
          <w:snapToGrid/>
          <w:sz w:val="20"/>
        </w:rPr>
        <w:t>l</w:t>
      </w:r>
      <w:r w:rsidR="00AA777F" w:rsidRPr="0069798E">
        <w:rPr>
          <w:rFonts w:cs="Arial"/>
          <w:snapToGrid/>
          <w:sz w:val="20"/>
        </w:rPr>
        <w:t xml:space="preserve"> </w:t>
      </w:r>
      <w:r>
        <w:rPr>
          <w:rFonts w:cs="Arial"/>
          <w:snapToGrid/>
          <w:sz w:val="20"/>
        </w:rPr>
        <w:t xml:space="preserve">do município </w:t>
      </w:r>
      <w:r w:rsidR="00AA777F" w:rsidRPr="0069798E">
        <w:rPr>
          <w:rFonts w:cs="Arial"/>
          <w:snapToGrid/>
          <w:sz w:val="20"/>
        </w:rPr>
        <w:t>para fins de contato institucional.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7302"/>
      </w:tblGrid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Pessoa para contato: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Cargo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RG nº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Telefone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Fax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E-mail institucional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</w:p>
        </w:tc>
      </w:tr>
    </w:tbl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b/>
          <w:bCs/>
          <w:snapToGrid/>
          <w:sz w:val="20"/>
        </w:rPr>
      </w:pPr>
    </w:p>
    <w:p w:rsidR="00037125" w:rsidRDefault="00037125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9D6249" w:rsidRPr="005A6EE6" w:rsidRDefault="009D6249" w:rsidP="009D6249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4E3F3C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________________________________________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BANCO DE DESENVOLVIMENTO DE MINAS GERAIS S.A.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  <w:r w:rsidRPr="00280DED">
        <w:rPr>
          <w:rFonts w:cs="Arial"/>
          <w:sz w:val="20"/>
        </w:rPr>
        <w:t>Rua da Bahia, 1600, Bairro de Lourdes, CEP: 30.160-907 Belo Horizonte/MG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  <w:r w:rsidRPr="00280DED">
        <w:rPr>
          <w:rFonts w:cs="Arial"/>
          <w:sz w:val="20"/>
        </w:rPr>
        <w:t>CNPJ n</w:t>
      </w:r>
      <w:r w:rsidRPr="00280DED">
        <w:rPr>
          <w:rFonts w:cs="Arial"/>
          <w:strike/>
          <w:sz w:val="20"/>
        </w:rPr>
        <w:t>º</w:t>
      </w:r>
      <w:r w:rsidRPr="00280DED">
        <w:rPr>
          <w:rFonts w:cs="Arial"/>
          <w:sz w:val="20"/>
        </w:rPr>
        <w:t xml:space="preserve"> 38.486.817/0001-94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_________________________________________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 xml:space="preserve">Prefeito(a) Municipal - 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begin">
          <w:ffData>
            <w:name w:val="Texto1180"/>
            <w:enabled/>
            <w:calcOnExit w:val="0"/>
            <w:textInput/>
          </w:ffData>
        </w:fldChar>
      </w:r>
      <w:r w:rsidRPr="00280DED">
        <w:rPr>
          <w:rFonts w:cs="Arial"/>
          <w:b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/>
          <w:bCs/>
          <w:snapToGrid/>
          <w:sz w:val="20"/>
          <w:highlight w:val="lightGray"/>
        </w:rPr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end"/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b/>
          <w:bCs/>
          <w:snapToGrid/>
          <w:sz w:val="20"/>
        </w:rPr>
      </w:pPr>
      <w:r w:rsidRPr="00280DED">
        <w:rPr>
          <w:rFonts w:cs="Arial"/>
          <w:bCs/>
          <w:snapToGrid/>
          <w:sz w:val="20"/>
        </w:rPr>
        <w:t xml:space="preserve">Endereço: </w:t>
      </w:r>
      <w:bookmarkStart w:id="5" w:name="Texto1179"/>
      <w:r w:rsidRPr="00280DED">
        <w:rPr>
          <w:rFonts w:cs="Arial"/>
          <w:bCs/>
          <w:snapToGrid/>
          <w:sz w:val="20"/>
          <w:highlight w:val="lightGray"/>
        </w:rPr>
        <w:fldChar w:fldCharType="begin">
          <w:ffData>
            <w:name w:val="Texto1179"/>
            <w:enabled/>
            <w:calcOnExit w:val="0"/>
            <w:textInput/>
          </w:ffData>
        </w:fldChar>
      </w:r>
      <w:r w:rsidRPr="00280DED">
        <w:rPr>
          <w:rFonts w:cs="Arial"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Cs/>
          <w:snapToGrid/>
          <w:sz w:val="20"/>
          <w:highlight w:val="lightGray"/>
        </w:rPr>
      </w:r>
      <w:r w:rsidRPr="00280DED">
        <w:rPr>
          <w:rFonts w:cs="Arial"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snapToGrid/>
          <w:sz w:val="20"/>
          <w:highlight w:val="lightGray"/>
        </w:rPr>
        <w:fldChar w:fldCharType="end"/>
      </w:r>
      <w:bookmarkEnd w:id="5"/>
      <w:r w:rsidRPr="00280DED">
        <w:rPr>
          <w:rFonts w:cs="Arial"/>
          <w:bCs/>
          <w:snapToGrid/>
          <w:sz w:val="20"/>
        </w:rPr>
        <w:t xml:space="preserve"> - CEP: 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begin">
          <w:ffData>
            <w:name w:val="Texto1180"/>
            <w:enabled/>
            <w:calcOnExit w:val="0"/>
            <w:textInput/>
          </w:ffData>
        </w:fldChar>
      </w:r>
      <w:bookmarkStart w:id="6" w:name="Texto1180"/>
      <w:r w:rsidRPr="00280DED">
        <w:rPr>
          <w:rFonts w:cs="Arial"/>
          <w:b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/>
          <w:bCs/>
          <w:snapToGrid/>
          <w:sz w:val="20"/>
          <w:highlight w:val="lightGray"/>
        </w:rPr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end"/>
      </w:r>
      <w:bookmarkEnd w:id="6"/>
    </w:p>
    <w:p w:rsidR="00001AC8" w:rsidRDefault="00AA777F" w:rsidP="00765FED">
      <w:pPr>
        <w:tabs>
          <w:tab w:val="left" w:pos="9214"/>
        </w:tabs>
        <w:spacing w:after="120" w:line="280" w:lineRule="exact"/>
        <w:jc w:val="both"/>
        <w:rPr>
          <w:rFonts w:cs="Arial"/>
          <w:b/>
          <w:sz w:val="28"/>
          <w:szCs w:val="28"/>
        </w:rPr>
      </w:pPr>
      <w:r w:rsidRPr="00280DED">
        <w:rPr>
          <w:rFonts w:cs="Arial"/>
          <w:snapToGrid/>
          <w:sz w:val="20"/>
        </w:rPr>
        <w:t xml:space="preserve">CNPJ: </w:t>
      </w:r>
      <w:r w:rsidRPr="00280DED">
        <w:rPr>
          <w:rFonts w:cs="Arial"/>
          <w:snapToGrid/>
          <w:sz w:val="20"/>
          <w:highlight w:val="lightGray"/>
        </w:rPr>
        <w:fldChar w:fldCharType="begin">
          <w:ffData>
            <w:name w:val="Texto1177"/>
            <w:enabled/>
            <w:calcOnExit w:val="0"/>
            <w:textInput/>
          </w:ffData>
        </w:fldChar>
      </w:r>
      <w:bookmarkStart w:id="7" w:name="Texto1177"/>
      <w:r w:rsidRPr="00280DED">
        <w:rPr>
          <w:rFonts w:cs="Arial"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snapToGrid/>
          <w:sz w:val="20"/>
          <w:highlight w:val="lightGray"/>
        </w:rPr>
      </w:r>
      <w:r w:rsidRPr="00280DED">
        <w:rPr>
          <w:rFonts w:cs="Arial"/>
          <w:snapToGrid/>
          <w:sz w:val="20"/>
          <w:highlight w:val="lightGray"/>
        </w:rPr>
        <w:fldChar w:fldCharType="separate"/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snapToGrid/>
          <w:sz w:val="20"/>
          <w:highlight w:val="lightGray"/>
        </w:rPr>
        <w:fldChar w:fldCharType="end"/>
      </w:r>
      <w:bookmarkStart w:id="8" w:name="_Toc339039681"/>
      <w:bookmarkStart w:id="9" w:name="_Toc339302046"/>
      <w:bookmarkStart w:id="10" w:name="_Toc341440266"/>
      <w:bookmarkEnd w:id="7"/>
      <w:r w:rsidR="00001AC8">
        <w:rPr>
          <w:rFonts w:cs="Arial"/>
          <w:b/>
          <w:sz w:val="28"/>
          <w:szCs w:val="28"/>
        </w:rPr>
        <w:br w:type="page"/>
      </w:r>
    </w:p>
    <w:bookmarkEnd w:id="8"/>
    <w:bookmarkEnd w:id="9"/>
    <w:bookmarkEnd w:id="10"/>
    <w:p w:rsidR="00523A99" w:rsidRPr="0075457E" w:rsidRDefault="00523A99" w:rsidP="00523A99">
      <w:pPr>
        <w:spacing w:after="200" w:line="276" w:lineRule="auto"/>
        <w:jc w:val="center"/>
        <w:rPr>
          <w:rFonts w:cs="Arial"/>
          <w:b/>
          <w:sz w:val="24"/>
          <w:szCs w:val="28"/>
        </w:rPr>
      </w:pPr>
      <w:r w:rsidRPr="0075457E">
        <w:rPr>
          <w:rFonts w:cs="Arial"/>
          <w:b/>
          <w:sz w:val="24"/>
          <w:szCs w:val="28"/>
        </w:rPr>
        <w:lastRenderedPageBreak/>
        <w:t xml:space="preserve">Parecer do Órgão Técnico – BDMG </w:t>
      </w:r>
      <w:r w:rsidR="008340DC">
        <w:rPr>
          <w:rFonts w:cs="Arial"/>
          <w:b/>
          <w:sz w:val="24"/>
          <w:szCs w:val="28"/>
        </w:rPr>
        <w:t>Saneamento</w:t>
      </w:r>
    </w:p>
    <w:p w:rsidR="00523A99" w:rsidRDefault="00523A99" w:rsidP="00523A99">
      <w:pPr>
        <w:spacing w:after="120"/>
        <w:jc w:val="both"/>
        <w:rPr>
          <w:rFonts w:cs="Arial"/>
          <w:color w:val="FF0000"/>
        </w:rPr>
      </w:pPr>
      <w:r w:rsidRPr="0075457E">
        <w:rPr>
          <w:rFonts w:cs="Arial"/>
          <w:iCs/>
          <w:szCs w:val="22"/>
        </w:rPr>
        <w:t xml:space="preserve"> “Em atendimento ao disposto no inciso I, do art. 21, da Resolução do Senado Federal nº 43/2001, e ao disposto no § 1º, do art. 32, da Lei Complementar 101/2000, trata o presente Parecer de contratação, pelo Município </w:t>
      </w:r>
      <w:r w:rsidR="00224D57">
        <w:rPr>
          <w:rFonts w:cs="Arial"/>
          <w:snapToGrid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napToGrid/>
          <w:szCs w:val="22"/>
          <w:highlight w:val="lightGray"/>
        </w:rPr>
        <w:instrText xml:space="preserve"> FORMTEXT </w:instrText>
      </w:r>
      <w:r w:rsidR="00224D57">
        <w:rPr>
          <w:rFonts w:cs="Arial"/>
          <w:snapToGrid/>
          <w:szCs w:val="22"/>
          <w:highlight w:val="lightGray"/>
        </w:rPr>
      </w:r>
      <w:r w:rsidR="00224D57">
        <w:rPr>
          <w:rFonts w:cs="Arial"/>
          <w:snapToGrid/>
          <w:szCs w:val="22"/>
          <w:highlight w:val="lightGray"/>
        </w:rPr>
        <w:fldChar w:fldCharType="separate"/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snapToGrid/>
          <w:szCs w:val="22"/>
          <w:highlight w:val="lightGray"/>
        </w:rPr>
        <w:fldChar w:fldCharType="end"/>
      </w:r>
      <w:r w:rsidRPr="0075457E">
        <w:rPr>
          <w:rFonts w:cs="Arial"/>
          <w:szCs w:val="22"/>
        </w:rPr>
        <w:t xml:space="preserve"> </w:t>
      </w:r>
      <w:r w:rsidRPr="0075457E">
        <w:rPr>
          <w:rFonts w:cs="Arial"/>
          <w:iCs/>
          <w:szCs w:val="22"/>
        </w:rPr>
        <w:t xml:space="preserve">de operação de crédito, no valor de </w:t>
      </w:r>
      <w:r w:rsidR="006D1AFA">
        <w:rPr>
          <w:rFonts w:cs="Arial"/>
          <w:iCs/>
          <w:szCs w:val="22"/>
        </w:rPr>
        <w:t>R$</w:t>
      </w:r>
      <w:r w:rsidR="00224D57">
        <w:rPr>
          <w:rFonts w:cs="Arial"/>
          <w:snapToGrid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napToGrid/>
          <w:szCs w:val="22"/>
          <w:highlight w:val="lightGray"/>
        </w:rPr>
        <w:instrText xml:space="preserve"> FORMTEXT </w:instrText>
      </w:r>
      <w:r w:rsidR="00224D57">
        <w:rPr>
          <w:rFonts w:cs="Arial"/>
          <w:snapToGrid/>
          <w:szCs w:val="22"/>
          <w:highlight w:val="lightGray"/>
        </w:rPr>
      </w:r>
      <w:r w:rsidR="00224D57">
        <w:rPr>
          <w:rFonts w:cs="Arial"/>
          <w:snapToGrid/>
          <w:szCs w:val="22"/>
          <w:highlight w:val="lightGray"/>
        </w:rPr>
        <w:fldChar w:fldCharType="separate"/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snapToGrid/>
          <w:szCs w:val="22"/>
          <w:highlight w:val="lightGray"/>
        </w:rPr>
        <w:fldChar w:fldCharType="end"/>
      </w:r>
      <w:r w:rsidRPr="0075457E">
        <w:rPr>
          <w:rFonts w:cs="Arial"/>
          <w:iCs/>
          <w:szCs w:val="22"/>
        </w:rPr>
        <w:t xml:space="preserve"> junto ao Banco de Dese</w:t>
      </w:r>
      <w:r w:rsidR="006D1AFA">
        <w:rPr>
          <w:rFonts w:cs="Arial"/>
          <w:iCs/>
          <w:szCs w:val="22"/>
        </w:rPr>
        <w:t>n</w:t>
      </w:r>
      <w:r w:rsidRPr="0075457E">
        <w:rPr>
          <w:rFonts w:cs="Arial"/>
          <w:iCs/>
          <w:szCs w:val="22"/>
        </w:rPr>
        <w:t xml:space="preserve">volvimento de Minas Gerais S.A, destinada à realização de </w:t>
      </w:r>
      <w:r w:rsidR="008340DC" w:rsidRPr="008340DC">
        <w:rPr>
          <w:rFonts w:cs="Arial"/>
          <w:noProof/>
          <w:snapToGrid/>
          <w:szCs w:val="22"/>
          <w:highlight w:val="lightGray"/>
        </w:rPr>
        <w:t>Investimento em saneamento</w:t>
      </w:r>
      <w:r w:rsidR="00224D57">
        <w:rPr>
          <w:rFonts w:cs="Arial"/>
          <w:snapToGrid/>
          <w:szCs w:val="22"/>
        </w:rPr>
        <w:t>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RELAÇÃO CUSTO-BENEFÍCIO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Neste item, o parecer pode estimar os impactos financeiros da operação, fazendo uma comparação entre os custos e os benefícios a serem auferidos com os recursos do empréstimo. É fundamental que se evidenciem os principais itens de custos do projeto, informando o custo unitário e o custo total.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Por exemplo: custo de pavimentação, custo de treinamento, custo de aquisição de máquinas e equipamentos.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Complementarmente, pode-se traçar uma estimativa do retorno esperado dos investimentos em cada exercício, tomando-se como base o exercício corrente.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apuração.</w:t>
      </w:r>
    </w:p>
    <w:p w:rsidR="00523A99" w:rsidRPr="0075457E" w:rsidRDefault="00523A99" w:rsidP="00523A99">
      <w:pPr>
        <w:spacing w:after="120"/>
        <w:jc w:val="both"/>
        <w:rPr>
          <w:rFonts w:cs="Arial"/>
          <w:b/>
          <w:iCs/>
          <w:color w:val="FF0000"/>
          <w:szCs w:val="22"/>
          <w:highlight w:val="yellow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iCs/>
          <w:color w:val="FF0000"/>
          <w:szCs w:val="22"/>
          <w:highlight w:val="yellow"/>
        </w:rPr>
      </w:pPr>
      <w:r w:rsidRPr="0075457E">
        <w:rPr>
          <w:rFonts w:cs="Arial"/>
          <w:b/>
          <w:iCs/>
          <w:color w:val="FF0000"/>
          <w:szCs w:val="22"/>
          <w:highlight w:val="yellow"/>
        </w:rPr>
        <w:t>Benefícios não mensuráveis financeiramente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</w:rPr>
      </w:pPr>
      <w:r w:rsidRPr="0075457E">
        <w:rPr>
          <w:rFonts w:cs="Arial"/>
          <w:iCs/>
          <w:color w:val="FF0000"/>
          <w:szCs w:val="22"/>
          <w:highlight w:val="yellow"/>
        </w:rPr>
        <w:t>Na hipótese de o Ente entender inviável a mensuração financeira dos benefícios resultantes da operação de crédito, sugere-se a seguinte declaração: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szCs w:val="22"/>
        </w:rPr>
        <w:t xml:space="preserve">Tendo em vista a natureza do investimento, entendo que os benefícios esperados </w:t>
      </w:r>
      <w:r w:rsidRPr="0075457E">
        <w:rPr>
          <w:rFonts w:cs="Arial"/>
          <w:iCs/>
          <w:color w:val="FF0000"/>
          <w:szCs w:val="22"/>
          <w:highlight w:val="yellow"/>
          <w:u w:val="dotted"/>
        </w:rPr>
        <w:t>(RELACIONAR BENEFÍCIOS)</w:t>
      </w:r>
      <w:r w:rsidRPr="0075457E">
        <w:rPr>
          <w:rFonts w:cs="Arial"/>
          <w:iCs/>
          <w:szCs w:val="22"/>
        </w:rPr>
        <w:t xml:space="preserve"> não são mensuráveis financeiramente de forma viável, mas superam os custos necessários e correspondentes à operação de crédito pleiteada.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INTERESSE ECONÔMICO E SOCIAL DA OPERAÇÃO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color w:val="FF0000"/>
          <w:szCs w:val="22"/>
          <w:highlight w:val="yellow"/>
        </w:rPr>
        <w:t>Apresentar uma descrição resumida do programa/projeto e dos objetivos pretendidos pelo ente, bem como as justificativas para os investimentos propostos, ressaltando a importância da operação e o seu alcance econômico e social.</w:t>
      </w: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CONCLUSÃO</w:t>
      </w:r>
    </w:p>
    <w:p w:rsidR="00523A99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szCs w:val="22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:rsidR="009D6249" w:rsidRPr="0075457E" w:rsidRDefault="009D6249" w:rsidP="00523A99">
      <w:pPr>
        <w:spacing w:after="120"/>
        <w:jc w:val="both"/>
        <w:rPr>
          <w:rFonts w:cs="Arial"/>
          <w:iCs/>
          <w:szCs w:val="22"/>
        </w:rPr>
      </w:pPr>
    </w:p>
    <w:p w:rsidR="009D6249" w:rsidRPr="005A6EE6" w:rsidRDefault="009D6249" w:rsidP="009D6249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4E3F3C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23A99" w:rsidRDefault="00523A99" w:rsidP="00523A99">
      <w:pPr>
        <w:spacing w:after="120"/>
        <w:jc w:val="both"/>
        <w:rPr>
          <w:rFonts w:cs="Arial"/>
        </w:rPr>
      </w:pPr>
    </w:p>
    <w:p w:rsidR="00523A99" w:rsidRDefault="00523A99" w:rsidP="00523A99">
      <w:pPr>
        <w:jc w:val="center"/>
        <w:rPr>
          <w:rFonts w:cs="Arial"/>
          <w:szCs w:val="22"/>
        </w:rPr>
      </w:pP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_______________________________________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Assinatura do</w:t>
      </w:r>
      <w:r>
        <w:rPr>
          <w:rFonts w:cs="Arial"/>
          <w:sz w:val="20"/>
          <w:szCs w:val="22"/>
        </w:rPr>
        <w:t>(a)</w:t>
      </w:r>
      <w:r w:rsidRPr="0075457E">
        <w:rPr>
          <w:rFonts w:cs="Arial"/>
          <w:sz w:val="20"/>
          <w:szCs w:val="22"/>
        </w:rPr>
        <w:t xml:space="preserve"> Representante do Órgão Técnico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(nome e cargo)</w:t>
      </w:r>
    </w:p>
    <w:p w:rsidR="00523A99" w:rsidRPr="0075457E" w:rsidRDefault="00523A99" w:rsidP="00523A99">
      <w:pPr>
        <w:jc w:val="both"/>
        <w:rPr>
          <w:rFonts w:cs="Arial"/>
          <w:sz w:val="20"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De acordo: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________________________________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Assinatura do</w:t>
      </w:r>
      <w:r>
        <w:rPr>
          <w:rFonts w:cs="Arial"/>
          <w:sz w:val="20"/>
          <w:szCs w:val="22"/>
        </w:rPr>
        <w:t>(a)</w:t>
      </w:r>
      <w:r w:rsidRPr="0075457E">
        <w:rPr>
          <w:rFonts w:cs="Arial"/>
          <w:sz w:val="20"/>
          <w:szCs w:val="22"/>
        </w:rPr>
        <w:t xml:space="preserve"> Chefe do Poder Executivo</w:t>
      </w:r>
    </w:p>
    <w:p w:rsidR="007F0686" w:rsidRPr="009D6249" w:rsidRDefault="00523A99" w:rsidP="009D624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(nome e cargo)</w:t>
      </w:r>
    </w:p>
    <w:bookmarkEnd w:id="0"/>
    <w:bookmarkEnd w:id="1"/>
    <w:bookmarkEnd w:id="2"/>
    <w:bookmarkEnd w:id="3"/>
    <w:sectPr w:rsidR="007F0686" w:rsidRPr="009D6249" w:rsidSect="00522803">
      <w:headerReference w:type="default" r:id="rId8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D4" w:rsidRDefault="00D41FD4">
      <w:r>
        <w:separator/>
      </w:r>
    </w:p>
  </w:endnote>
  <w:endnote w:type="continuationSeparator" w:id="0">
    <w:p w:rsidR="00D41FD4" w:rsidRDefault="00D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D4" w:rsidRDefault="00D41FD4">
      <w:r>
        <w:separator/>
      </w:r>
    </w:p>
  </w:footnote>
  <w:footnote w:type="continuationSeparator" w:id="0">
    <w:p w:rsidR="00D41FD4" w:rsidRDefault="00D4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D41FD4">
    <w:pPr>
      <w:pStyle w:val="Cabealho"/>
    </w:pPr>
  </w:p>
  <w:p w:rsidR="00D41FD4" w:rsidRDefault="00D41FD4">
    <w:pPr>
      <w:pStyle w:val="Cabealho"/>
    </w:pPr>
  </w:p>
  <w:p w:rsidR="00D41FD4" w:rsidRDefault="00D41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1C1A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5952"/>
    <w:rsid w:val="00247586"/>
    <w:rsid w:val="00250086"/>
    <w:rsid w:val="00265B7C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2D7B"/>
    <w:rsid w:val="00464C99"/>
    <w:rsid w:val="00465E84"/>
    <w:rsid w:val="00466E05"/>
    <w:rsid w:val="00480CE2"/>
    <w:rsid w:val="004810A3"/>
    <w:rsid w:val="004814D1"/>
    <w:rsid w:val="00481FA6"/>
    <w:rsid w:val="004859A3"/>
    <w:rsid w:val="00486D37"/>
    <w:rsid w:val="00490054"/>
    <w:rsid w:val="00496BA9"/>
    <w:rsid w:val="004B0F25"/>
    <w:rsid w:val="004C192D"/>
    <w:rsid w:val="004C40E8"/>
    <w:rsid w:val="004C6AA4"/>
    <w:rsid w:val="004D0DBC"/>
    <w:rsid w:val="004D61AD"/>
    <w:rsid w:val="004E3F3C"/>
    <w:rsid w:val="004E5C94"/>
    <w:rsid w:val="004E7A1C"/>
    <w:rsid w:val="004F7140"/>
    <w:rsid w:val="005008EC"/>
    <w:rsid w:val="00501605"/>
    <w:rsid w:val="00505192"/>
    <w:rsid w:val="00511402"/>
    <w:rsid w:val="00512772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523A"/>
    <w:rsid w:val="005B578E"/>
    <w:rsid w:val="005C0EF1"/>
    <w:rsid w:val="005C719B"/>
    <w:rsid w:val="005D0672"/>
    <w:rsid w:val="005D3B29"/>
    <w:rsid w:val="005D490F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0D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7"/>
    <w:rsid w:val="008D09D6"/>
    <w:rsid w:val="008D345F"/>
    <w:rsid w:val="008D3FE0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B5C"/>
    <w:rsid w:val="009B5F3B"/>
    <w:rsid w:val="009C0008"/>
    <w:rsid w:val="009C3572"/>
    <w:rsid w:val="009C5BD1"/>
    <w:rsid w:val="009C7B5E"/>
    <w:rsid w:val="009D0320"/>
    <w:rsid w:val="009D6113"/>
    <w:rsid w:val="009D6249"/>
    <w:rsid w:val="009D687A"/>
    <w:rsid w:val="009E0D10"/>
    <w:rsid w:val="009E6F7F"/>
    <w:rsid w:val="009F6EEE"/>
    <w:rsid w:val="00A00083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6941"/>
    <w:rsid w:val="00A97184"/>
    <w:rsid w:val="00AA0BC0"/>
    <w:rsid w:val="00AA151B"/>
    <w:rsid w:val="00AA32AB"/>
    <w:rsid w:val="00AA4F0D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4D6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D5A85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7636C"/>
    <w:rsid w:val="00E82CFC"/>
    <w:rsid w:val="00E82F53"/>
    <w:rsid w:val="00E90594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7AC4"/>
    <w:rsid w:val="00EF3ECD"/>
    <w:rsid w:val="00EF69B6"/>
    <w:rsid w:val="00EF752E"/>
    <w:rsid w:val="00F0420D"/>
    <w:rsid w:val="00F04D99"/>
    <w:rsid w:val="00F0727C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2835-8E16-4B29-81FD-C58BAD15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4800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Maria Clara de Paula R Tabaral</cp:lastModifiedBy>
  <cp:revision>4</cp:revision>
  <cp:lastPrinted>2011-04-25T14:34:00Z</cp:lastPrinted>
  <dcterms:created xsi:type="dcterms:W3CDTF">2019-05-09T18:48:00Z</dcterms:created>
  <dcterms:modified xsi:type="dcterms:W3CDTF">2019-06-27T19:56:00Z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